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1A" w:rsidRPr="00F2777C" w:rsidRDefault="00D51489" w:rsidP="00F2777C">
      <w:pPr>
        <w:spacing w:line="1" w:lineRule="exact"/>
        <w:rPr>
          <w:color w:val="auto"/>
        </w:rPr>
      </w:pPr>
      <w:r>
        <w:rPr>
          <w:color w:val="auto"/>
        </w:rPr>
        <w:pict>
          <v:rect id="_x0000_s1030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F2711A" w:rsidRPr="008C37B2" w:rsidRDefault="008C37B2" w:rsidP="008C37B2">
      <w:pPr>
        <w:spacing w:line="1" w:lineRule="exact"/>
        <w:ind w:left="1418"/>
        <w:rPr>
          <w:rFonts w:ascii="Times New Roman" w:hAnsi="Times New Roman" w:cs="Times New Roman"/>
          <w:color w:val="auto"/>
          <w:sz w:val="28"/>
          <w:szCs w:val="28"/>
        </w:rPr>
        <w:sectPr w:rsidR="00F2711A" w:rsidRPr="008C37B2" w:rsidSect="00B44015">
          <w:type w:val="continuous"/>
          <w:pgSz w:w="11900" w:h="16840"/>
          <w:pgMar w:top="884" w:right="843" w:bottom="612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:rsidR="00F2777C" w:rsidRDefault="00F2777C" w:rsidP="00507104">
      <w:pPr>
        <w:spacing w:after="299" w:line="1" w:lineRule="exact"/>
        <w:jc w:val="right"/>
      </w:pPr>
    </w:p>
    <w:p w:rsidR="00F2777C" w:rsidRDefault="00F2777C" w:rsidP="00507104">
      <w:pPr>
        <w:spacing w:before="39" w:after="3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УТВЕРЖДЕНО</w:t>
      </w:r>
    </w:p>
    <w:p w:rsidR="00F2777C" w:rsidRDefault="00842E94" w:rsidP="00507104">
      <w:pPr>
        <w:spacing w:before="39" w:after="3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="00F2777C">
        <w:rPr>
          <w:rFonts w:ascii="Times New Roman" w:hAnsi="Times New Roman" w:cs="Times New Roman"/>
          <w:sz w:val="28"/>
          <w:szCs w:val="28"/>
        </w:rPr>
        <w:t>риказом начальника</w:t>
      </w:r>
    </w:p>
    <w:p w:rsidR="00F2777C" w:rsidRDefault="00F2777C" w:rsidP="00507104">
      <w:pPr>
        <w:spacing w:before="39" w:after="3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«Центр по чрезвычайным ситуациям</w:t>
      </w:r>
    </w:p>
    <w:p w:rsidR="00F2777C" w:rsidRDefault="00F2777C" w:rsidP="00507104">
      <w:pPr>
        <w:spacing w:before="39" w:after="3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Минераловодского городского округа»</w:t>
      </w:r>
    </w:p>
    <w:p w:rsidR="00F2777C" w:rsidRPr="00620745" w:rsidRDefault="00F2777C" w:rsidP="00507104">
      <w:pPr>
        <w:spacing w:before="39" w:after="39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6D02">
        <w:rPr>
          <w:rFonts w:ascii="Times New Roman" w:hAnsi="Times New Roman" w:cs="Times New Roman"/>
          <w:sz w:val="28"/>
          <w:szCs w:val="28"/>
        </w:rPr>
        <w:t xml:space="preserve">                            № 71 от 03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F2777C" w:rsidRDefault="00F2777C" w:rsidP="00F2777C">
      <w:pPr>
        <w:pStyle w:val="20"/>
        <w:shd w:val="clear" w:color="auto" w:fill="auto"/>
        <w:jc w:val="right"/>
        <w:rPr>
          <w:color w:val="auto"/>
        </w:rPr>
      </w:pPr>
    </w:p>
    <w:p w:rsidR="00F2711A" w:rsidRPr="0058461D" w:rsidRDefault="00175AF8" w:rsidP="00B44015">
      <w:pPr>
        <w:pStyle w:val="20"/>
        <w:shd w:val="clear" w:color="auto" w:fill="auto"/>
        <w:rPr>
          <w:color w:val="auto"/>
        </w:rPr>
      </w:pPr>
      <w:r w:rsidRPr="0058461D">
        <w:rPr>
          <w:color w:val="auto"/>
        </w:rPr>
        <w:t>ПОРЯДОК</w:t>
      </w:r>
      <w:r w:rsidRPr="0058461D">
        <w:rPr>
          <w:color w:val="auto"/>
        </w:rPr>
        <w:br/>
        <w:t>ОПРЕДЕЛЕНИЯ СООТНОШЕНИЯ ОБЪЕМА ЗАНЯТИЙ, ПРОВОДИМЫХ ПУТЕМ</w:t>
      </w:r>
      <w:r w:rsidRPr="0058461D">
        <w:rPr>
          <w:color w:val="auto"/>
        </w:rPr>
        <w:br/>
        <w:t>НЕПОСРЕДСТВЕННОГО ВХАИМОДЕЙСТВИЯ ПЕДАГОГИЧЕСКОГО</w:t>
      </w:r>
      <w:r w:rsidRPr="0058461D">
        <w:rPr>
          <w:color w:val="auto"/>
        </w:rPr>
        <w:br/>
        <w:t>РАБОТНИ</w:t>
      </w:r>
      <w:r w:rsidR="00442D1E">
        <w:rPr>
          <w:color w:val="auto"/>
        </w:rPr>
        <w:t xml:space="preserve">КА С </w:t>
      </w:r>
      <w:proofErr w:type="gramStart"/>
      <w:r w:rsidR="00442D1E">
        <w:rPr>
          <w:color w:val="auto"/>
        </w:rPr>
        <w:t>ОБУЧАЮЩИМИСЯ</w:t>
      </w:r>
      <w:proofErr w:type="gramEnd"/>
      <w:r w:rsidR="00442D1E">
        <w:rPr>
          <w:color w:val="auto"/>
        </w:rPr>
        <w:t xml:space="preserve">, В ТОМ ЧИСЛЕ </w:t>
      </w:r>
      <w:r w:rsidRPr="0058461D">
        <w:rPr>
          <w:color w:val="auto"/>
        </w:rPr>
        <w:t>С ПРИМЕНЕНИЕМ</w:t>
      </w:r>
      <w:r w:rsidRPr="0058461D">
        <w:rPr>
          <w:color w:val="auto"/>
        </w:rPr>
        <w:br/>
        <w:t>ЭЛЕКТРОННОГО ОБУЧЕНИЯ, ДИСТАНЦИОННЫХ ОБРАЗОВАТЕЛЬНЫХ</w:t>
      </w:r>
      <w:r w:rsidRPr="0058461D">
        <w:rPr>
          <w:color w:val="auto"/>
        </w:rPr>
        <w:br/>
        <w:t>ТЕХНОЛОГИЙ</w:t>
      </w:r>
    </w:p>
    <w:p w:rsidR="00F2711A" w:rsidRPr="0058461D" w:rsidRDefault="00175AF8" w:rsidP="005846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jc w:val="center"/>
        <w:rPr>
          <w:color w:val="auto"/>
        </w:rPr>
      </w:pPr>
      <w:bookmarkStart w:id="0" w:name="bookmark0"/>
      <w:bookmarkStart w:id="1" w:name="bookmark1"/>
      <w:r w:rsidRPr="0058461D">
        <w:rPr>
          <w:color w:val="auto"/>
        </w:rPr>
        <w:t>Общие положения</w:t>
      </w:r>
      <w:bookmarkEnd w:id="0"/>
      <w:bookmarkEnd w:id="1"/>
    </w:p>
    <w:p w:rsidR="00F2711A" w:rsidRPr="0058461D" w:rsidRDefault="0058461D">
      <w:pPr>
        <w:pStyle w:val="1"/>
        <w:shd w:val="clear" w:color="auto" w:fill="auto"/>
        <w:ind w:firstLine="180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175AF8" w:rsidRPr="0058461D">
        <w:rPr>
          <w:color w:val="auto"/>
        </w:rPr>
        <w:t>1.1 Настоящий Порядок определения соотношения объема занятий, проводимых путем непосредственного взаимодействия педагогического работника с обучающимися, в том числе, с применением электронного обучения, дистанционных образовательных технологий в образовательном учреждении разработан в соответствии с Федеральным законом от 27.12.2012 года «Об образовании в Рос</w:t>
      </w:r>
      <w:r w:rsidR="008C37B2">
        <w:rPr>
          <w:color w:val="auto"/>
        </w:rPr>
        <w:t xml:space="preserve">сийской Федерации; приказом </w:t>
      </w:r>
      <w:proofErr w:type="spellStart"/>
      <w:r w:rsidR="008C37B2">
        <w:rPr>
          <w:color w:val="auto"/>
        </w:rPr>
        <w:t>Мин</w:t>
      </w:r>
      <w:r w:rsidR="00175AF8" w:rsidRPr="0058461D">
        <w:rPr>
          <w:color w:val="auto"/>
        </w:rPr>
        <w:t>обрнауки</w:t>
      </w:r>
      <w:proofErr w:type="spellEnd"/>
      <w:r w:rsidR="00175AF8" w:rsidRPr="0058461D">
        <w:rPr>
          <w:color w:val="auto"/>
        </w:rPr>
        <w:t xml:space="preserve"> России от 23.08.2017 года №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>816 «Об утверждении Порядка применения</w:t>
      </w:r>
      <w:proofErr w:type="gramEnd"/>
      <w:r w:rsidR="00175AF8" w:rsidRPr="0058461D">
        <w:rPr>
          <w:color w:val="auto"/>
        </w:rPr>
        <w:t xml:space="preserve">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иными нормативными правовы</w:t>
      </w:r>
      <w:r>
        <w:rPr>
          <w:color w:val="auto"/>
        </w:rPr>
        <w:t>ми актами Российской Федерации.</w:t>
      </w:r>
    </w:p>
    <w:p w:rsidR="00F2711A" w:rsidRDefault="0058461D" w:rsidP="0058461D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jc w:val="both"/>
        <w:rPr>
          <w:color w:val="auto"/>
        </w:rPr>
      </w:pPr>
      <w:proofErr w:type="gramStart"/>
      <w:r>
        <w:rPr>
          <w:color w:val="auto"/>
        </w:rPr>
        <w:t xml:space="preserve">МБУ «Центр по чрезвычайным ситуациям Минераловодского городского округа» </w:t>
      </w:r>
      <w:r w:rsidR="00175AF8" w:rsidRPr="0058461D">
        <w:rPr>
          <w:color w:val="auto"/>
        </w:rPr>
        <w:t xml:space="preserve"> самостоятельно определяет соотношение объема занятий, проводимых путем непосредственного взаимодействия педагогического работника с обучающимися, в том числе, с применением электронного обучения (ЭО), дистанционных образовательных технологий (ДОТ).</w:t>
      </w:r>
      <w:proofErr w:type="gramEnd"/>
      <w:r w:rsidR="00175AF8" w:rsidRPr="0058461D">
        <w:rPr>
          <w:color w:val="auto"/>
        </w:rPr>
        <w:t xml:space="preserve"> При реализации </w:t>
      </w:r>
      <w:r>
        <w:rPr>
          <w:color w:val="auto"/>
        </w:rPr>
        <w:t xml:space="preserve">МБУ «Центр по чрезвычайным ситуациям Минераловодского городского округа» дополнительных профессиональных </w:t>
      </w:r>
      <w:r w:rsidR="00175AF8" w:rsidRPr="0058461D">
        <w:rPr>
          <w:color w:val="auto"/>
        </w:rPr>
        <w:t xml:space="preserve">программ допускается отсутствие учебных занятий, проводимых путем непосредственного взаимодействия педагогического работника с </w:t>
      </w:r>
      <w:proofErr w:type="gramStart"/>
      <w:r w:rsidR="00175AF8" w:rsidRPr="0058461D">
        <w:rPr>
          <w:color w:val="auto"/>
        </w:rPr>
        <w:t>обучающимися</w:t>
      </w:r>
      <w:proofErr w:type="gramEnd"/>
      <w:r w:rsidR="00175AF8" w:rsidRPr="0058461D">
        <w:rPr>
          <w:color w:val="auto"/>
        </w:rPr>
        <w:t xml:space="preserve"> в учебных классах.</w:t>
      </w:r>
    </w:p>
    <w:p w:rsidR="0058461D" w:rsidRPr="0058461D" w:rsidRDefault="0058461D" w:rsidP="0058461D">
      <w:pPr>
        <w:pStyle w:val="1"/>
        <w:shd w:val="clear" w:color="auto" w:fill="auto"/>
        <w:tabs>
          <w:tab w:val="left" w:pos="538"/>
        </w:tabs>
        <w:jc w:val="both"/>
        <w:rPr>
          <w:color w:val="auto"/>
        </w:rPr>
      </w:pPr>
    </w:p>
    <w:p w:rsidR="00F2711A" w:rsidRPr="0058461D" w:rsidRDefault="00175AF8" w:rsidP="0058461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jc w:val="center"/>
        <w:rPr>
          <w:color w:val="auto"/>
        </w:rPr>
      </w:pPr>
      <w:bookmarkStart w:id="2" w:name="bookmark2"/>
      <w:bookmarkStart w:id="3" w:name="bookmark3"/>
      <w:r w:rsidRPr="0058461D">
        <w:rPr>
          <w:color w:val="auto"/>
        </w:rPr>
        <w:t>Формы организации образовательного процесса</w:t>
      </w:r>
      <w:bookmarkEnd w:id="2"/>
      <w:bookmarkEnd w:id="3"/>
    </w:p>
    <w:p w:rsidR="00F2711A" w:rsidRPr="0058461D" w:rsidRDefault="00175AF8" w:rsidP="0058461D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jc w:val="both"/>
        <w:rPr>
          <w:color w:val="auto"/>
        </w:rPr>
      </w:pPr>
      <w:r w:rsidRPr="0058461D">
        <w:rPr>
          <w:color w:val="auto"/>
        </w:rPr>
        <w:t>О</w:t>
      </w:r>
      <w:r w:rsidR="0058461D">
        <w:rPr>
          <w:color w:val="auto"/>
        </w:rPr>
        <w:t>бразовательная деятельность по дополнительным профессиональным</w:t>
      </w:r>
      <w:r w:rsidRPr="0058461D">
        <w:rPr>
          <w:color w:val="auto"/>
        </w:rPr>
        <w:t xml:space="preserve"> программам с применением ЭО, ДОТ проводится</w:t>
      </w:r>
      <w:r w:rsidR="0058461D">
        <w:rPr>
          <w:color w:val="auto"/>
        </w:rPr>
        <w:t>:</w:t>
      </w:r>
    </w:p>
    <w:p w:rsidR="00F2711A" w:rsidRPr="0058461D" w:rsidRDefault="0058461D" w:rsidP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 xml:space="preserve">в форме непосредственного взаимодействия педагогического работника с </w:t>
      </w:r>
      <w:proofErr w:type="gramStart"/>
      <w:r w:rsidR="00175AF8" w:rsidRPr="0058461D">
        <w:rPr>
          <w:color w:val="auto"/>
        </w:rPr>
        <w:t>обучающимся</w:t>
      </w:r>
      <w:proofErr w:type="gramEnd"/>
      <w:r w:rsidR="00175AF8" w:rsidRPr="0058461D">
        <w:rPr>
          <w:color w:val="auto"/>
        </w:rPr>
        <w:t xml:space="preserve"> (контактная работа);</w:t>
      </w:r>
    </w:p>
    <w:p w:rsidR="00F2711A" w:rsidRPr="0058461D" w:rsidRDefault="0058461D" w:rsidP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 xml:space="preserve">в форме самостоятельной работы </w:t>
      </w:r>
      <w:proofErr w:type="gramStart"/>
      <w:r w:rsidR="00175AF8" w:rsidRPr="0058461D">
        <w:rPr>
          <w:color w:val="auto"/>
        </w:rPr>
        <w:t>обучающихся</w:t>
      </w:r>
      <w:proofErr w:type="gramEnd"/>
      <w:r w:rsidR="00175AF8" w:rsidRPr="0058461D">
        <w:rPr>
          <w:color w:val="auto"/>
        </w:rPr>
        <w:t>.</w:t>
      </w:r>
    </w:p>
    <w:p w:rsidR="00F2711A" w:rsidRPr="0058461D" w:rsidRDefault="00175AF8" w:rsidP="0058461D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jc w:val="both"/>
        <w:rPr>
          <w:color w:val="auto"/>
        </w:rPr>
      </w:pPr>
      <w:r w:rsidRPr="0058461D">
        <w:rPr>
          <w:color w:val="auto"/>
        </w:rPr>
        <w:t>Контактная работа:</w:t>
      </w:r>
    </w:p>
    <w:p w:rsidR="00F2711A" w:rsidRPr="0058461D" w:rsidRDefault="0058461D" w:rsidP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>может быть аудиторной и внеаудиторной;</w:t>
      </w:r>
    </w:p>
    <w:p w:rsidR="00F2711A" w:rsidRPr="0058461D" w:rsidRDefault="0058461D" w:rsidP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 xml:space="preserve">может проводиться в электронной информационной образовательной </w:t>
      </w:r>
      <w:r>
        <w:rPr>
          <w:color w:val="auto"/>
        </w:rPr>
        <w:t>среде</w:t>
      </w:r>
      <w:r w:rsidR="00175AF8" w:rsidRPr="0058461D">
        <w:rPr>
          <w:color w:val="auto"/>
        </w:rPr>
        <w:t>.</w:t>
      </w:r>
      <w:r w:rsidR="00175AF8" w:rsidRPr="0058461D">
        <w:rPr>
          <w:color w:val="auto"/>
        </w:rPr>
        <w:br w:type="page"/>
      </w:r>
    </w:p>
    <w:p w:rsidR="00F2711A" w:rsidRPr="0058461D" w:rsidRDefault="00D51489">
      <w:pPr>
        <w:spacing w:line="1" w:lineRule="exact"/>
        <w:rPr>
          <w:color w:val="auto"/>
        </w:rPr>
      </w:pPr>
      <w:r>
        <w:rPr>
          <w:color w:val="auto"/>
        </w:rPr>
        <w:lastRenderedPageBreak/>
        <w:pict>
          <v:rect id="_x0000_s1029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F2711A" w:rsidRDefault="00175AF8">
      <w:pPr>
        <w:pStyle w:val="1"/>
        <w:numPr>
          <w:ilvl w:val="0"/>
          <w:numId w:val="2"/>
        </w:numPr>
        <w:shd w:val="clear" w:color="auto" w:fill="auto"/>
        <w:jc w:val="both"/>
        <w:rPr>
          <w:color w:val="auto"/>
        </w:rPr>
      </w:pPr>
      <w:r w:rsidRPr="0058461D">
        <w:rPr>
          <w:color w:val="auto"/>
        </w:rPr>
        <w:t>Аудиторная контактная работа проводится в классно-урочной форме при непосредственном контакте обучающихся с педагогическими работниками или в виртуальной аудитории ЭИОС ОУ, обеспечивающей аудиовизуальную синхронную обратную связь педагогических работников и обучающихся.</w:t>
      </w:r>
    </w:p>
    <w:p w:rsidR="0058461D" w:rsidRPr="0058461D" w:rsidRDefault="0058461D" w:rsidP="0058461D">
      <w:pPr>
        <w:pStyle w:val="1"/>
        <w:shd w:val="clear" w:color="auto" w:fill="auto"/>
        <w:jc w:val="both"/>
        <w:rPr>
          <w:color w:val="auto"/>
        </w:rPr>
      </w:pPr>
    </w:p>
    <w:p w:rsidR="00F2711A" w:rsidRPr="0058461D" w:rsidRDefault="0058461D" w:rsidP="0058461D">
      <w:pPr>
        <w:pStyle w:val="1"/>
        <w:shd w:val="clear" w:color="auto" w:fill="auto"/>
        <w:jc w:val="center"/>
        <w:rPr>
          <w:color w:val="auto"/>
        </w:rPr>
      </w:pPr>
      <w:r>
        <w:rPr>
          <w:b/>
          <w:bCs/>
          <w:color w:val="auto"/>
        </w:rPr>
        <w:t>3</w:t>
      </w:r>
      <w:r w:rsidR="00175AF8" w:rsidRPr="0058461D">
        <w:rPr>
          <w:b/>
          <w:bCs/>
          <w:color w:val="auto"/>
        </w:rPr>
        <w:t xml:space="preserve">.Порядок определения соотношения объема занятий, проводимых путем непосредственного взаимодействия педагогического работника с </w:t>
      </w:r>
      <w:proofErr w:type="gramStart"/>
      <w:r w:rsidR="00175AF8" w:rsidRPr="0058461D">
        <w:rPr>
          <w:b/>
          <w:bCs/>
          <w:color w:val="auto"/>
        </w:rPr>
        <w:t>обучающимися</w:t>
      </w:r>
      <w:proofErr w:type="gramEnd"/>
      <w:r w:rsidR="00175AF8" w:rsidRPr="0058461D">
        <w:rPr>
          <w:b/>
          <w:bCs/>
          <w:color w:val="auto"/>
        </w:rPr>
        <w:t>, в том числе, с применением электронного обучения, дистанционных образовательных технологий</w:t>
      </w:r>
    </w:p>
    <w:p w:rsidR="00F2711A" w:rsidRPr="0058461D" w:rsidRDefault="00175AF8">
      <w:pPr>
        <w:pStyle w:val="1"/>
        <w:numPr>
          <w:ilvl w:val="1"/>
          <w:numId w:val="2"/>
        </w:numPr>
        <w:shd w:val="clear" w:color="auto" w:fill="auto"/>
        <w:tabs>
          <w:tab w:val="left" w:pos="534"/>
        </w:tabs>
        <w:jc w:val="both"/>
        <w:rPr>
          <w:color w:val="auto"/>
        </w:rPr>
      </w:pPr>
      <w:r w:rsidRPr="0058461D">
        <w:rPr>
          <w:color w:val="auto"/>
        </w:rPr>
        <w:t xml:space="preserve">Формы контактной работы (как аудиторные, так и внеаудиторные) и самостоятельной работы </w:t>
      </w:r>
      <w:proofErr w:type="gramStart"/>
      <w:r w:rsidRPr="0058461D">
        <w:rPr>
          <w:color w:val="auto"/>
        </w:rPr>
        <w:t>обучающихся</w:t>
      </w:r>
      <w:proofErr w:type="gramEnd"/>
      <w:r w:rsidRPr="0058461D">
        <w:rPr>
          <w:color w:val="auto"/>
        </w:rPr>
        <w:t xml:space="preserve"> устанавливаются в </w:t>
      </w:r>
      <w:r w:rsidR="0058461D">
        <w:rPr>
          <w:color w:val="auto"/>
        </w:rPr>
        <w:t>МБУ «Центр по чрезвычайным ситуациям Минераловодского городского округа».</w:t>
      </w:r>
    </w:p>
    <w:p w:rsidR="00F2711A" w:rsidRPr="0058461D" w:rsidRDefault="0058461D">
      <w:pPr>
        <w:pStyle w:val="1"/>
        <w:numPr>
          <w:ilvl w:val="1"/>
          <w:numId w:val="2"/>
        </w:numPr>
        <w:shd w:val="clear" w:color="auto" w:fill="auto"/>
        <w:tabs>
          <w:tab w:val="left" w:pos="534"/>
        </w:tabs>
        <w:jc w:val="both"/>
        <w:rPr>
          <w:color w:val="auto"/>
        </w:rPr>
      </w:pPr>
      <w:r>
        <w:rPr>
          <w:color w:val="auto"/>
        </w:rPr>
        <w:t xml:space="preserve">МБУ «Центр по чрезвычайным ситуациям Минераловодского городского округа» </w:t>
      </w:r>
      <w:r w:rsidR="00175AF8" w:rsidRPr="0058461D">
        <w:rPr>
          <w:color w:val="auto"/>
        </w:rPr>
        <w:t>самостоятельно определяет нормы расчета учебной, нагрузки педагогических работников, участвующих в ЭО и ДОТ с учетом следующих факторов:</w:t>
      </w:r>
    </w:p>
    <w:p w:rsidR="00F2711A" w:rsidRPr="0058461D" w:rsidRDefault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 xml:space="preserve">готовность электронного </w:t>
      </w:r>
      <w:proofErr w:type="spellStart"/>
      <w:r w:rsidR="00175AF8" w:rsidRPr="0058461D">
        <w:rPr>
          <w:color w:val="auto"/>
        </w:rPr>
        <w:t>контента</w:t>
      </w:r>
      <w:proofErr w:type="spellEnd"/>
      <w:r w:rsidR="00175AF8" w:rsidRPr="0058461D">
        <w:rPr>
          <w:color w:val="auto"/>
        </w:rPr>
        <w:t xml:space="preserve"> (при необходимости записи нового электронного </w:t>
      </w:r>
      <w:proofErr w:type="spellStart"/>
      <w:r w:rsidR="00175AF8" w:rsidRPr="0058461D">
        <w:rPr>
          <w:color w:val="auto"/>
        </w:rPr>
        <w:t>контента</w:t>
      </w:r>
      <w:proofErr w:type="spellEnd"/>
      <w:r w:rsidR="00175AF8" w:rsidRPr="0058461D">
        <w:rPr>
          <w:color w:val="auto"/>
        </w:rPr>
        <w:t xml:space="preserve"> учебные нагрузки рассчитываются исходя из нормы 1 к 1);</w:t>
      </w:r>
    </w:p>
    <w:p w:rsidR="00F2711A" w:rsidRPr="0058461D" w:rsidRDefault="0058461D">
      <w:pPr>
        <w:pStyle w:val="1"/>
        <w:shd w:val="clear" w:color="auto" w:fill="auto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>форм работы (контактной или самостоятельной);</w:t>
      </w:r>
    </w:p>
    <w:p w:rsidR="0058461D" w:rsidRDefault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 xml:space="preserve">нормы времени по видам работы (к примеру, для сопровождения 1 часа занятий 1 обучающимся педагог затрачивает 0,1 часа рабочего времени, для сопровождения 1 часа тестирования (с проверкой и комментариями)-0,2 часа); </w:t>
      </w:r>
    </w:p>
    <w:p w:rsidR="00F2711A" w:rsidRPr="0058461D" w:rsidRDefault="0058461D">
      <w:pPr>
        <w:pStyle w:val="1"/>
        <w:shd w:val="clear" w:color="auto" w:fill="auto"/>
        <w:jc w:val="both"/>
        <w:rPr>
          <w:color w:val="auto"/>
        </w:rPr>
      </w:pPr>
      <w:r>
        <w:rPr>
          <w:color w:val="auto"/>
        </w:rPr>
        <w:tab/>
      </w:r>
      <w:r w:rsidR="00175AF8" w:rsidRPr="0058461D">
        <w:rPr>
          <w:color w:val="auto"/>
        </w:rPr>
        <w:t>-</w:t>
      </w:r>
      <w:r>
        <w:rPr>
          <w:color w:val="auto"/>
        </w:rPr>
        <w:t xml:space="preserve"> </w:t>
      </w:r>
      <w:r w:rsidR="00175AF8" w:rsidRPr="0058461D">
        <w:rPr>
          <w:color w:val="auto"/>
        </w:rPr>
        <w:t xml:space="preserve">количество </w:t>
      </w:r>
      <w:proofErr w:type="gramStart"/>
      <w:r w:rsidR="00175AF8" w:rsidRPr="0058461D">
        <w:rPr>
          <w:color w:val="auto"/>
        </w:rPr>
        <w:t>обучающихся</w:t>
      </w:r>
      <w:proofErr w:type="gramEnd"/>
      <w:r w:rsidR="00175AF8" w:rsidRPr="0058461D">
        <w:rPr>
          <w:color w:val="auto"/>
        </w:rPr>
        <w:t>, осваивающих ЭО и ДОТ ООП и длительности сопровождения 1 обучающегося.</w:t>
      </w:r>
    </w:p>
    <w:p w:rsidR="00F2711A" w:rsidRPr="0058461D" w:rsidRDefault="00175AF8" w:rsidP="0058461D">
      <w:pPr>
        <w:pStyle w:val="1"/>
        <w:numPr>
          <w:ilvl w:val="1"/>
          <w:numId w:val="2"/>
        </w:numPr>
        <w:shd w:val="clear" w:color="auto" w:fill="auto"/>
        <w:tabs>
          <w:tab w:val="left" w:pos="763"/>
        </w:tabs>
        <w:jc w:val="both"/>
        <w:rPr>
          <w:color w:val="auto"/>
        </w:rPr>
      </w:pPr>
      <w:proofErr w:type="gramStart"/>
      <w:r w:rsidRPr="0058461D">
        <w:rPr>
          <w:color w:val="auto"/>
        </w:rPr>
        <w:t>При реализации образовательных программ с применением</w:t>
      </w:r>
      <w:r w:rsidR="0058461D">
        <w:rPr>
          <w:color w:val="auto"/>
        </w:rPr>
        <w:t xml:space="preserve"> </w:t>
      </w:r>
      <w:r w:rsidRPr="0058461D">
        <w:rPr>
          <w:color w:val="auto"/>
        </w:rPr>
        <w:t xml:space="preserve">исключительно электронного обучения, дистанционных образовательных технологий </w:t>
      </w:r>
      <w:r w:rsidR="0058461D">
        <w:rPr>
          <w:color w:val="auto"/>
        </w:rPr>
        <w:t xml:space="preserve">МБУ «Центр по чрезвычайным ситуациям Минераловодского городского округа» </w:t>
      </w:r>
      <w:r w:rsidRPr="0058461D">
        <w:rPr>
          <w:color w:val="auto"/>
        </w:rPr>
        <w:t>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</w:t>
      </w:r>
      <w:r w:rsidRPr="0058461D">
        <w:rPr>
          <w:color w:val="auto"/>
        </w:rPr>
        <w:tab/>
        <w:t>совокупность</w:t>
      </w:r>
      <w:r w:rsidRPr="0058461D">
        <w:rPr>
          <w:color w:val="auto"/>
        </w:rPr>
        <w:tab/>
        <w:t>информационных</w:t>
      </w:r>
      <w:r w:rsidRPr="0058461D">
        <w:rPr>
          <w:color w:val="auto"/>
        </w:rPr>
        <w:tab/>
        <w:t>технологий,</w:t>
      </w:r>
      <w:r w:rsidR="0058461D">
        <w:rPr>
          <w:color w:val="auto"/>
        </w:rPr>
        <w:t xml:space="preserve"> </w:t>
      </w:r>
      <w:r w:rsidRPr="0058461D">
        <w:rPr>
          <w:color w:val="auto"/>
        </w:rPr>
        <w:t xml:space="preserve">телекоммуникационных технологий, </w:t>
      </w:r>
      <w:r w:rsidR="0058461D" w:rsidRPr="0058461D">
        <w:rPr>
          <w:color w:val="auto"/>
        </w:rPr>
        <w:t xml:space="preserve">соответствующих технологических </w:t>
      </w:r>
      <w:r w:rsidRPr="0058461D">
        <w:rPr>
          <w:color w:val="auto"/>
        </w:rPr>
        <w:t>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</w:p>
    <w:p w:rsidR="00F2711A" w:rsidRPr="0058461D" w:rsidRDefault="00175AF8">
      <w:pPr>
        <w:pStyle w:val="1"/>
        <w:numPr>
          <w:ilvl w:val="1"/>
          <w:numId w:val="2"/>
        </w:numPr>
        <w:shd w:val="clear" w:color="auto" w:fill="auto"/>
        <w:tabs>
          <w:tab w:val="left" w:pos="534"/>
        </w:tabs>
        <w:jc w:val="both"/>
        <w:rPr>
          <w:color w:val="auto"/>
        </w:rPr>
      </w:pPr>
      <w:r w:rsidRPr="0058461D">
        <w:rPr>
          <w:color w:val="auto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58461D">
        <w:rPr>
          <w:color w:val="auto"/>
        </w:rPr>
        <w:t>МБУ «Центр по чрезвычайным ситуациям Минераловодского городского округа»</w:t>
      </w:r>
      <w:r w:rsidR="008C37B2">
        <w:rPr>
          <w:color w:val="auto"/>
        </w:rPr>
        <w:t xml:space="preserve"> </w:t>
      </w:r>
      <w:r w:rsidRPr="0058461D">
        <w:rPr>
          <w:color w:val="auto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476D02" w:rsidRPr="00476D02" w:rsidRDefault="00175AF8" w:rsidP="00476D02">
      <w:pPr>
        <w:pStyle w:val="1"/>
        <w:numPr>
          <w:ilvl w:val="1"/>
          <w:numId w:val="2"/>
        </w:numPr>
        <w:shd w:val="clear" w:color="auto" w:fill="auto"/>
        <w:tabs>
          <w:tab w:val="left" w:pos="534"/>
        </w:tabs>
        <w:jc w:val="both"/>
        <w:rPr>
          <w:color w:val="auto"/>
        </w:rPr>
      </w:pPr>
      <w:r w:rsidRPr="0058461D">
        <w:rPr>
          <w:color w:val="auto"/>
        </w:rPr>
        <w:t>При реализации образовательных программ с применением электронного обучения, дистанционных образовательных технологий</w:t>
      </w:r>
      <w:r w:rsidR="008C37B2">
        <w:rPr>
          <w:color w:val="auto"/>
        </w:rPr>
        <w:t xml:space="preserve"> в</w:t>
      </w:r>
      <w:r w:rsidRPr="0058461D">
        <w:rPr>
          <w:color w:val="auto"/>
        </w:rPr>
        <w:t xml:space="preserve"> организации ведется учет и осуществляется хранение результатов образовательного процесса и внутренний документооборот на бумажном носителе и/или в </w:t>
      </w:r>
      <w:proofErr w:type="spellStart"/>
      <w:r w:rsidRPr="0058461D">
        <w:rPr>
          <w:color w:val="auto"/>
        </w:rPr>
        <w:t>электронно</w:t>
      </w:r>
      <w:r w:rsidRPr="0058461D">
        <w:rPr>
          <w:color w:val="auto"/>
        </w:rPr>
        <w:softHyphen/>
        <w:t>цифровой</w:t>
      </w:r>
      <w:proofErr w:type="spellEnd"/>
      <w:r w:rsidRPr="0058461D">
        <w:rPr>
          <w:color w:val="auto"/>
        </w:rPr>
        <w:t xml:space="preserve"> форме.</w:t>
      </w:r>
    </w:p>
    <w:p w:rsidR="00F2711A" w:rsidRPr="0058461D" w:rsidRDefault="00175AF8" w:rsidP="008C37B2">
      <w:pPr>
        <w:pStyle w:val="1"/>
        <w:shd w:val="clear" w:color="auto" w:fill="auto"/>
        <w:jc w:val="center"/>
        <w:rPr>
          <w:color w:val="auto"/>
        </w:rPr>
      </w:pPr>
      <w:r w:rsidRPr="0058461D">
        <w:rPr>
          <w:b/>
          <w:bCs/>
          <w:color w:val="auto"/>
        </w:rPr>
        <w:t>4.3аключительные положения</w:t>
      </w:r>
      <w:r w:rsidRPr="0058461D">
        <w:rPr>
          <w:color w:val="auto"/>
        </w:rPr>
        <w:br w:type="page"/>
      </w:r>
    </w:p>
    <w:p w:rsidR="00F2711A" w:rsidRPr="0058461D" w:rsidRDefault="008C37B2" w:rsidP="008C37B2">
      <w:pPr>
        <w:pStyle w:val="1"/>
        <w:shd w:val="clear" w:color="auto" w:fill="auto"/>
        <w:tabs>
          <w:tab w:val="left" w:pos="415"/>
        </w:tabs>
        <w:jc w:val="both"/>
        <w:rPr>
          <w:color w:val="auto"/>
        </w:rPr>
      </w:pPr>
      <w:r>
        <w:rPr>
          <w:color w:val="auto"/>
        </w:rPr>
        <w:lastRenderedPageBreak/>
        <w:t xml:space="preserve">4.1. </w:t>
      </w:r>
      <w:proofErr w:type="gramStart"/>
      <w:r>
        <w:rPr>
          <w:color w:val="auto"/>
        </w:rPr>
        <w:t xml:space="preserve">Ответственность за установление соотношения </w:t>
      </w:r>
      <w:r w:rsidR="00175AF8" w:rsidRPr="0058461D">
        <w:rPr>
          <w:color w:val="auto"/>
        </w:rPr>
        <w:t>объема занятий, проводимых путем непосредственного взаимодействия педагогического работника с обучающимися, в том числе, с применением электронного обучения, дистанционных образовательных технологий не</w:t>
      </w:r>
      <w:r>
        <w:rPr>
          <w:color w:val="auto"/>
        </w:rPr>
        <w:t>сет начальник МБУ «Центр по чрезвычайным ситуациям Минераловодского городского округа».</w:t>
      </w:r>
      <w:proofErr w:type="gramEnd"/>
    </w:p>
    <w:p w:rsidR="00F2711A" w:rsidRPr="0058461D" w:rsidRDefault="00175AF8">
      <w:pPr>
        <w:pStyle w:val="1"/>
        <w:numPr>
          <w:ilvl w:val="1"/>
          <w:numId w:val="3"/>
        </w:numPr>
        <w:shd w:val="clear" w:color="auto" w:fill="auto"/>
        <w:tabs>
          <w:tab w:val="left" w:pos="624"/>
        </w:tabs>
        <w:jc w:val="both"/>
        <w:rPr>
          <w:color w:val="auto"/>
        </w:rPr>
      </w:pPr>
      <w:r w:rsidRPr="0058461D">
        <w:rPr>
          <w:color w:val="auto"/>
        </w:rPr>
        <w:t xml:space="preserve">Настоящий порядок вступает в силу с момента его утверждения </w:t>
      </w:r>
      <w:r w:rsidR="008C37B2">
        <w:rPr>
          <w:color w:val="auto"/>
        </w:rPr>
        <w:t>начальником МБУ «Центр по чрезвычайным ситуациям Минераловодского городского округа»</w:t>
      </w:r>
      <w:r w:rsidRPr="0058461D">
        <w:rPr>
          <w:color w:val="auto"/>
        </w:rPr>
        <w:t xml:space="preserve"> и действует до отмены порядка.</w:t>
      </w:r>
    </w:p>
    <w:p w:rsidR="00F2711A" w:rsidRPr="0058461D" w:rsidRDefault="00D51489">
      <w:pPr>
        <w:spacing w:line="1" w:lineRule="exact"/>
        <w:rPr>
          <w:color w:val="auto"/>
        </w:rPr>
      </w:pPr>
      <w:r>
        <w:rPr>
          <w:color w:val="auto"/>
        </w:rPr>
        <w:pict>
          <v:rect id="_x0000_s1028" style="position:absolute;margin-left:0;margin-top:0;width:595pt;height:842pt;z-index:-251658750;mso-position-horizontal-relative:page;mso-position-vertical-relative:page" fillcolor="#fefefe" stroked="f">
            <w10:wrap anchorx="page" anchory="page"/>
          </v:rect>
        </w:pict>
      </w:r>
    </w:p>
    <w:p w:rsidR="00F2711A" w:rsidRPr="0058461D" w:rsidRDefault="00175AF8">
      <w:pPr>
        <w:pStyle w:val="1"/>
        <w:numPr>
          <w:ilvl w:val="1"/>
          <w:numId w:val="3"/>
        </w:numPr>
        <w:shd w:val="clear" w:color="auto" w:fill="auto"/>
        <w:tabs>
          <w:tab w:val="left" w:pos="534"/>
        </w:tabs>
        <w:spacing w:line="276" w:lineRule="auto"/>
        <w:jc w:val="both"/>
        <w:rPr>
          <w:color w:val="auto"/>
        </w:rPr>
      </w:pPr>
      <w:r w:rsidRPr="0058461D">
        <w:rPr>
          <w:color w:val="auto"/>
        </w:rPr>
        <w:t xml:space="preserve">Изменения и дополнения к настоящему порядку утверждаются </w:t>
      </w:r>
      <w:r w:rsidR="008C37B2">
        <w:rPr>
          <w:color w:val="auto"/>
        </w:rPr>
        <w:t>начальником МБУ «Центр по чрезвычайным ситуациям Минераловодского городского округа».</w:t>
      </w:r>
    </w:p>
    <w:sectPr w:rsidR="00F2711A" w:rsidRPr="0058461D" w:rsidSect="00F2711A">
      <w:type w:val="continuous"/>
      <w:pgSz w:w="11900" w:h="16840"/>
      <w:pgMar w:top="884" w:right="830" w:bottom="612" w:left="1446" w:header="456" w:footer="1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5C" w:rsidRDefault="004C385C" w:rsidP="00F2711A">
      <w:r>
        <w:separator/>
      </w:r>
    </w:p>
  </w:endnote>
  <w:endnote w:type="continuationSeparator" w:id="0">
    <w:p w:rsidR="004C385C" w:rsidRDefault="004C385C" w:rsidP="00F2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5C" w:rsidRDefault="004C385C"/>
  </w:footnote>
  <w:footnote w:type="continuationSeparator" w:id="0">
    <w:p w:rsidR="004C385C" w:rsidRDefault="004C38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035"/>
    <w:multiLevelType w:val="multilevel"/>
    <w:tmpl w:val="286C1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64650"/>
    <w:multiLevelType w:val="multilevel"/>
    <w:tmpl w:val="6068F8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7002D"/>
    <w:multiLevelType w:val="multilevel"/>
    <w:tmpl w:val="ED58CF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2711A"/>
    <w:rsid w:val="00031B9C"/>
    <w:rsid w:val="000E2CC8"/>
    <w:rsid w:val="000E37EB"/>
    <w:rsid w:val="00155E91"/>
    <w:rsid w:val="00175AF8"/>
    <w:rsid w:val="001A6887"/>
    <w:rsid w:val="00442D1E"/>
    <w:rsid w:val="00476D02"/>
    <w:rsid w:val="004C385C"/>
    <w:rsid w:val="00507104"/>
    <w:rsid w:val="0058461D"/>
    <w:rsid w:val="00695DE2"/>
    <w:rsid w:val="006B2F26"/>
    <w:rsid w:val="00842E94"/>
    <w:rsid w:val="008C37B2"/>
    <w:rsid w:val="00A86AD7"/>
    <w:rsid w:val="00B44015"/>
    <w:rsid w:val="00CD525F"/>
    <w:rsid w:val="00CF5979"/>
    <w:rsid w:val="00D51489"/>
    <w:rsid w:val="00E87068"/>
    <w:rsid w:val="00EA5C57"/>
    <w:rsid w:val="00F2711A"/>
    <w:rsid w:val="00F2777C"/>
    <w:rsid w:val="00F3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7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66A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27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6569"/>
      <w:u w:val="none"/>
    </w:rPr>
  </w:style>
  <w:style w:type="character" w:customStyle="1" w:styleId="10">
    <w:name w:val="Заголовок №1_"/>
    <w:basedOn w:val="a0"/>
    <w:link w:val="11"/>
    <w:rsid w:val="00F27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6569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2711A"/>
    <w:pPr>
      <w:shd w:val="clear" w:color="auto" w:fill="FFFFFF"/>
    </w:pPr>
    <w:rPr>
      <w:rFonts w:ascii="Times New Roman" w:eastAsia="Times New Roman" w:hAnsi="Times New Roman" w:cs="Times New Roman"/>
      <w:color w:val="65666A"/>
      <w:sz w:val="28"/>
      <w:szCs w:val="28"/>
    </w:rPr>
  </w:style>
  <w:style w:type="paragraph" w:customStyle="1" w:styleId="20">
    <w:name w:val="Основной текст (2)"/>
    <w:basedOn w:val="a"/>
    <w:link w:val="2"/>
    <w:rsid w:val="00F2711A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color w:val="636569"/>
    </w:rPr>
  </w:style>
  <w:style w:type="paragraph" w:customStyle="1" w:styleId="11">
    <w:name w:val="Заголовок №1"/>
    <w:basedOn w:val="a"/>
    <w:link w:val="10"/>
    <w:rsid w:val="00F2711A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63656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2022-10-12T12:39:00Z</cp:lastPrinted>
  <dcterms:created xsi:type="dcterms:W3CDTF">2022-10-07T08:50:00Z</dcterms:created>
  <dcterms:modified xsi:type="dcterms:W3CDTF">2022-10-12T12:39:00Z</dcterms:modified>
</cp:coreProperties>
</file>